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162" w:rsidRDefault="00564FFF">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Schedule 24 (Financial Difficulties)</w:t>
      </w:r>
    </w:p>
    <w:p w:rsidR="00A93162" w:rsidRDefault="00564FFF">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bookmarkStart w:id="0" w:name="_GoBack"/>
      <w:bookmarkEnd w:id="0"/>
    </w:p>
    <w:p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A93162">
        <w:tc>
          <w:tcPr>
            <w:tcW w:w="2462" w:type="dxa"/>
          </w:tcPr>
          <w:p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 and</w:t>
            </w:r>
          </w:p>
        </w:tc>
      </w:tr>
      <w:tr w:rsidR="00A93162">
        <w:tc>
          <w:tcPr>
            <w:tcW w:w="2462" w:type="dxa"/>
          </w:tcPr>
          <w:p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bookmarkStart w:id="1" w:name="_heading=h.gjdgxs" w:colFirst="0" w:colLast="0"/>
            <w:bookmarkEnd w:id="1"/>
            <w:r>
              <w:rPr>
                <w:rFonts w:ascii="Arial" w:eastAsia="Arial" w:hAnsi="Arial"/>
                <w:b/>
                <w:color w:val="000000"/>
                <w:sz w:val="24"/>
                <w:szCs w:val="24"/>
              </w:rPr>
              <w:t>"Financial Distress Event"</w:t>
            </w:r>
          </w:p>
        </w:tc>
        <w:tc>
          <w:tcPr>
            <w:tcW w:w="5098" w:type="dxa"/>
          </w:tcPr>
          <w:p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the Buyer that the Supplier has not satisfied any sums properly due under a specified invoice and not subject to a genuine dispute; or</w:t>
            </w:r>
          </w:p>
          <w:p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any financial indebtedness of the Monitored Company becoming due as a result of an event of default; or</w:t>
            </w:r>
          </w:p>
          <w:p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the Monitored Company</w:t>
            </w:r>
          </w:p>
          <w:p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the Buyer reasonably believes (or would be likely reasonably to believe) could directly impact on the continued performance of any Contract and delivery of the Deliverables in accordance with any  Contract;</w:t>
            </w:r>
          </w:p>
        </w:tc>
      </w:tr>
      <w:tr w:rsidR="00A93162">
        <w:tc>
          <w:tcPr>
            <w:tcW w:w="2462" w:type="dxa"/>
          </w:tcPr>
          <w:p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A93162">
        <w:tc>
          <w:tcPr>
            <w:tcW w:w="2462" w:type="dxa"/>
          </w:tcPr>
          <w:p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rsidR="00A93162" w:rsidRDefault="00B64141" w:rsidP="00B64141">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Supplier</w:t>
            </w:r>
            <w:r w:rsidRPr="00B64141">
              <w:rPr>
                <w:rFonts w:ascii="Arial" w:eastAsia="Arial" w:hAnsi="Arial"/>
                <w:color w:val="000000"/>
                <w:sz w:val="24"/>
                <w:szCs w:val="24"/>
              </w:rPr>
              <w:t xml:space="preserve">, </w:t>
            </w:r>
            <w:r w:rsidR="00564FFF" w:rsidRPr="00B64141">
              <w:rPr>
                <w:rFonts w:ascii="Arial" w:eastAsia="Arial" w:hAnsi="Arial"/>
                <w:color w:val="000000"/>
                <w:sz w:val="24"/>
                <w:szCs w:val="24"/>
              </w:rPr>
              <w:t>the   Guarantor or any Key Subcontractor;</w:t>
            </w:r>
            <w:r w:rsidR="00564FFF">
              <w:rPr>
                <w:rFonts w:ascii="Arial" w:eastAsia="Arial" w:hAnsi="Arial"/>
                <w:color w:val="000000"/>
                <w:sz w:val="24"/>
                <w:szCs w:val="24"/>
              </w:rPr>
              <w:t xml:space="preserve"> and</w:t>
            </w:r>
          </w:p>
        </w:tc>
      </w:tr>
      <w:tr w:rsidR="00A93162">
        <w:tc>
          <w:tcPr>
            <w:tcW w:w="2462" w:type="dxa"/>
          </w:tcPr>
          <w:p w:rsidR="00A93162" w:rsidRDefault="00564FFF" w:rsidP="00503729">
            <w:pPr>
              <w:pBdr>
                <w:top w:val="nil"/>
                <w:left w:val="nil"/>
                <w:bottom w:val="nil"/>
                <w:right w:val="nil"/>
                <w:between w:val="nil"/>
              </w:pBdr>
              <w:spacing w:after="120"/>
              <w:ind w:left="-108" w:hanging="20"/>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2" w:name="_heading=h.30j0zll" w:colFirst="0" w:colLast="0"/>
      <w:bookmarkEnd w:id="2"/>
      <w:r>
        <w:rPr>
          <w:rFonts w:ascii="Arial Bold" w:eastAsia="Arial Bold" w:hAnsi="Arial Bold" w:cs="Arial Bold"/>
          <w:b/>
          <w:color w:val="000000"/>
          <w:sz w:val="24"/>
          <w:szCs w:val="24"/>
        </w:rPr>
        <w:t>When this Schedule applies</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rsidR="00A93162" w:rsidRDefault="00564FFF">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r>
        <w:rPr>
          <w:rFonts w:ascii="Arial" w:eastAsia="Arial" w:hAnsi="Arial"/>
          <w:color w:val="000000"/>
          <w:sz w:val="24"/>
          <w:szCs w:val="24"/>
        </w:rPr>
        <w:t>under the Contract until the termination or expiry of the Contract.</w:t>
      </w:r>
    </w:p>
    <w:p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The Supplier warrants and represents to the Buyer that as at the Start Date the long term credit ratings issued for the Monitored Companies by each of the Rating Agencies are as set out in Annex 2. </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the Buyer in writing if there is any downgrade in the credit rating issued by any Rating Agency for a Monitored Company.</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that the Monitored Company’s auditors thereafter provide the Buyer within 10 Working Days of the end of each Contract Year and within 10 Working Days of written request by the Buyer (such requests not to exceed 4 in any Contract Year) with written calculations of the quick ratio for the Monitored Company as at the end of each Contract Year or such other date as may be requested by the Buyer. For these purposes the "quick ratio" on any date means:</w:t>
      </w:r>
    </w:p>
    <w:p w:rsidR="00A93162" w:rsidRDefault="00564FFF">
      <w:pPr>
        <w:ind w:firstLine="1134"/>
        <w:jc w:val="left"/>
        <w:rPr>
          <w:rFonts w:ascii="Arial" w:eastAsia="Arial" w:hAnsi="Arial"/>
          <w:sz w:val="24"/>
          <w:szCs w:val="24"/>
        </w:rPr>
      </w:pPr>
      <w:r>
        <w:rPr>
          <w:rFonts w:ascii="Arial" w:eastAsia="Arial" w:hAnsi="Arial"/>
          <w:noProof/>
          <w:sz w:val="24"/>
          <w:szCs w:val="24"/>
          <w:lang w:eastAsia="en-GB"/>
        </w:rPr>
        <w:lastRenderedPageBreak/>
        <w:drawing>
          <wp:inline distT="0" distB="0" distL="0" distR="0">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lang w:eastAsia="en-GB"/>
        </w:rPr>
        <w:drawing>
          <wp:inline distT="0" distB="0" distL="0" distR="0">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rsidR="00A93162" w:rsidRDefault="00564FFF">
      <w:pPr>
        <w:pBdr>
          <w:top w:val="nil"/>
          <w:left w:val="nil"/>
          <w:bottom w:val="nil"/>
          <w:right w:val="nil"/>
          <w:between w:val="nil"/>
        </w:pBdr>
        <w:tabs>
          <w:tab w:val="left" w:pos="3402"/>
        </w:tabs>
        <w:spacing w:after="220"/>
        <w:ind w:left="720" w:hanging="1134"/>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A93162">
        <w:tc>
          <w:tcPr>
            <w:tcW w:w="1524"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A93162">
        <w:tc>
          <w:tcPr>
            <w:tcW w:w="1524"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A93162">
        <w:tc>
          <w:tcPr>
            <w:tcW w:w="1524"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A93162">
        <w:tc>
          <w:tcPr>
            <w:tcW w:w="1524"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The Supplier shall: </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In the event of a Financial Distress Event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4.3 to 4.6.</w:t>
      </w:r>
    </w:p>
    <w:p w:rsidR="00A93162" w:rsidRDefault="00B6414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 I</w:t>
      </w:r>
      <w:r w:rsidR="00564FFF">
        <w:rPr>
          <w:rFonts w:ascii="Arial" w:eastAsia="Arial" w:hAnsi="Arial"/>
          <w:color w:val="000000"/>
          <w:sz w:val="24"/>
          <w:szCs w:val="24"/>
        </w:rPr>
        <w:t>n the event that a Financial Distress Event arises due to a Key Subcontractor notifying the Buyer that the Supplier has not satisfied any sums properly due under a specified invoice and not subject to a genuine dispute then, the Buyer shall not exercise any of its rights or remedies under Paragraph 4.3 without first giving the Supplier ten (10) Working Days to:</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rectify such late or non-payment; or </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the Buyer's reasonable satisfaction that there is a valid reason for late or non-payment.]</w:t>
      </w:r>
    </w:p>
    <w:p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Supplier shall and shall procure that the other Monitored Companies shall:</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at the request of the Buyer meet the Buyer as soon as reasonably practicable (and in any event within three (3) Working Days of the initial notification (or awareness) of the Financial Distress Event) to review the effect of the Financial Distress Event on the continued performance of the Contract and delivery of the Deliverables in accordance the Contract; and</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 xml:space="preserve">where the Buyer reasonably believes (taking into account the discussions and any representations made under Paragraph 4.3.1) that the Financial Distress Event could impact on the continued performance of the Contract and delivery of the Deliverables in accordance with the Contract: </w:t>
      </w:r>
    </w:p>
    <w:p w:rsidR="00A93162" w:rsidRDefault="00564FF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the Buyer for its Approval, a draft Financial Distress Service Continuity Plan as soon as reasonably practicable (and in any event, within ten (10) Working Days of the initial notification (or awareness) of the Financial Distress Event); and</w:t>
      </w:r>
    </w:p>
    <w:p w:rsidR="00A93162" w:rsidRDefault="00564FF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provide such financial information relating to the Monitored Company as the Buyer may reasonably require.</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 This process shall be repeated until the Financial Distress Service Continuity Plan is Approved by the Buyer or referred to the Dispute Resolution Procedure.</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 xml:space="preserve">If the Buyer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lnxbz9" w:colFirst="0" w:colLast="0"/>
      <w:bookmarkEnd w:id="13"/>
      <w:r>
        <w:rPr>
          <w:rFonts w:ascii="Arial" w:eastAsia="Arial" w:hAnsi="Arial"/>
          <w:color w:val="000000"/>
          <w:sz w:val="24"/>
          <w:szCs w:val="24"/>
        </w:rPr>
        <w:t>Following Approval of the Financial Distress Service Continuity Plan by the Buyer, the Supplier shall:</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 xml:space="preserve">on a regular basis (which shall not be less than Monthly), review the Financial Distress Service Continuity Plan and assess whether it remains adequate and up to date to ensure </w:t>
      </w:r>
      <w:r>
        <w:rPr>
          <w:rFonts w:ascii="Arial" w:eastAsia="Arial" w:hAnsi="Arial"/>
          <w:color w:val="000000"/>
          <w:sz w:val="24"/>
          <w:szCs w:val="24"/>
        </w:rPr>
        <w:lastRenderedPageBreak/>
        <w:t>the continued performance the Contract and delivery of the Deliverables in accordance with the Contract;</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the Buyer for its Approval, and the provisions of Paragraphs 4.5 and 4.6 shall apply to the review and Approval process for the updated Financial Distress Service Continuity Plan; and </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comply with the Financial Distress Service Continuity Plan (including any updated Financial Distress Service Continuity Plan).</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4.6. </w:t>
      </w:r>
    </w:p>
    <w:p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the Buyer can terminate for financial distress </w:t>
      </w:r>
    </w:p>
    <w:p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8" w:name="_heading=h.z337ya" w:colFirst="0" w:colLast="0"/>
      <w:bookmarkEnd w:id="18"/>
      <w:r>
        <w:rPr>
          <w:rFonts w:ascii="Arial" w:eastAsia="Arial" w:hAnsi="Arial"/>
          <w:color w:val="000000"/>
          <w:sz w:val="24"/>
          <w:szCs w:val="24"/>
        </w:rPr>
        <w:t xml:space="preserve">The Buyer shall be entitled to terminate this Contract for material Default if: </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the Buyer of a Financial Distress Event in accordance with Paragraph 3.4; </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fail to agree a Financial Distress Service Continuity Plan (or any updated Financial Distress Service Continuity Plan) in accordance with Paragraphs 4.3 to 4.5; and/or</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9" w:name="_heading=h.3j2qqm3" w:colFirst="0" w:colLast="0"/>
      <w:bookmarkEnd w:id="19"/>
      <w:r>
        <w:rPr>
          <w:rFonts w:ascii="Arial Bold" w:eastAsia="Arial Bold" w:hAnsi="Arial Bold" w:cs="Arial Bold"/>
          <w:b/>
          <w:color w:val="000000"/>
          <w:sz w:val="24"/>
          <w:szCs w:val="24"/>
        </w:rPr>
        <w:t>What happens If your credit rating is still good</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Buyer’s rights and remedies under Paragraph 5, if, following the occurrence of a Financial Distress Event, the Rating Agencies review and report subsequently that the credit ratings do not drop below the relevant Credit Rating Threshold, then:</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not be entitled to require the Supplier to provide financial information in accordance with Paragraph 4.3.2(b). </w:t>
      </w:r>
    </w:p>
    <w:p w:rsidR="00A93162" w:rsidRDefault="00A93162">
      <w:pPr>
        <w:pBdr>
          <w:top w:val="nil"/>
          <w:left w:val="nil"/>
          <w:bottom w:val="nil"/>
          <w:right w:val="nil"/>
          <w:between w:val="nil"/>
        </w:pBdr>
        <w:spacing w:after="0"/>
        <w:jc w:val="left"/>
        <w:rPr>
          <w:rFonts w:ascii="Arial" w:eastAsia="Arial" w:hAnsi="Arial"/>
          <w:color w:val="FFFFFF"/>
          <w:sz w:val="24"/>
          <w:szCs w:val="24"/>
        </w:rPr>
      </w:pPr>
    </w:p>
    <w:p w:rsidR="00A93162" w:rsidRDefault="00564FFF">
      <w:pPr>
        <w:keepNext/>
        <w:pBdr>
          <w:top w:val="nil"/>
          <w:left w:val="nil"/>
          <w:bottom w:val="nil"/>
          <w:right w:val="nil"/>
          <w:between w:val="nil"/>
        </w:pBdr>
        <w:ind w:firstLine="426"/>
        <w:jc w:val="left"/>
        <w:rPr>
          <w:rFonts w:ascii="Arial" w:eastAsia="Arial" w:hAnsi="Arial"/>
          <w:b/>
          <w:smallCaps/>
          <w:color w:val="000000"/>
          <w:sz w:val="24"/>
          <w:szCs w:val="24"/>
        </w:rPr>
      </w:pPr>
      <w:bookmarkStart w:id="20" w:name="_heading=h.1y810tw" w:colFirst="0" w:colLast="0"/>
      <w:bookmarkEnd w:id="20"/>
      <w:r>
        <w:br w:type="page"/>
      </w:r>
    </w:p>
    <w:p w:rsidR="00A93162" w:rsidRDefault="00564FFF">
      <w:pPr>
        <w:keepNext/>
        <w:pBdr>
          <w:top w:val="nil"/>
          <w:left w:val="nil"/>
          <w:bottom w:val="nil"/>
          <w:right w:val="nil"/>
          <w:between w:val="nil"/>
        </w:pBdr>
        <w:ind w:firstLine="426"/>
        <w:jc w:val="left"/>
        <w:rPr>
          <w:rFonts w:ascii="Arial" w:eastAsia="Arial" w:hAnsi="Arial"/>
          <w:b/>
          <w:smallCaps/>
          <w:color w:val="000000"/>
          <w:sz w:val="36"/>
          <w:szCs w:val="36"/>
        </w:rPr>
      </w:pPr>
      <w:bookmarkStart w:id="21" w:name="_heading=h.4i7ojhp" w:colFirst="0" w:colLast="0"/>
      <w:bookmarkEnd w:id="21"/>
      <w:r>
        <w:rPr>
          <w:rFonts w:ascii="Arial" w:eastAsia="Arial" w:hAnsi="Arial"/>
          <w:b/>
          <w:smallCaps/>
          <w:color w:val="000000"/>
          <w:sz w:val="36"/>
          <w:szCs w:val="36"/>
        </w:rPr>
        <w:lastRenderedPageBreak/>
        <w:t>ANNEX 1: RATING AGENCIES</w:t>
      </w:r>
    </w:p>
    <w:p w:rsidR="00A93162"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highlight w:val="yellow"/>
        </w:rPr>
        <w:t>[Rating Agency 1]</w:t>
      </w:r>
    </w:p>
    <w:p w:rsidR="00A93162"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highlight w:val="yellow"/>
        </w:rPr>
        <w:t>[Rating Agency 2]</w:t>
      </w:r>
    </w:p>
    <w:p w:rsidR="00A93162" w:rsidRDefault="00564FFF">
      <w:pPr>
        <w:keepNext/>
        <w:pBdr>
          <w:top w:val="nil"/>
          <w:left w:val="nil"/>
          <w:bottom w:val="nil"/>
          <w:right w:val="nil"/>
          <w:between w:val="nil"/>
        </w:pBdr>
        <w:ind w:firstLine="426"/>
        <w:jc w:val="left"/>
        <w:rPr>
          <w:rFonts w:ascii="Arial" w:eastAsia="Arial" w:hAnsi="Arial"/>
          <w:b/>
          <w:smallCaps/>
          <w:color w:val="000000"/>
          <w:sz w:val="24"/>
          <w:szCs w:val="24"/>
        </w:rPr>
      </w:pPr>
      <w:bookmarkStart w:id="22" w:name="_heading=h.2xcytpi" w:colFirst="0" w:colLast="0"/>
      <w:bookmarkEnd w:id="22"/>
      <w:r>
        <w:br w:type="page"/>
      </w:r>
      <w:r>
        <w:rPr>
          <w:rFonts w:ascii="Arial" w:eastAsia="Arial" w:hAnsi="Arial"/>
          <w:b/>
          <w:smallCaps/>
          <w:color w:val="000000"/>
          <w:sz w:val="36"/>
          <w:szCs w:val="36"/>
        </w:rPr>
        <w:lastRenderedPageBreak/>
        <w:t>ANNEX 2: CREDIT RATINGS &amp; CREDIT RATING THRESHOLDS</w:t>
      </w:r>
    </w:p>
    <w:p w:rsidR="00A93162" w:rsidRDefault="00564FFF">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90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33"/>
        <w:gridCol w:w="3017"/>
        <w:gridCol w:w="2966"/>
      </w:tblGrid>
      <w:tr w:rsidR="00A93162">
        <w:tc>
          <w:tcPr>
            <w:tcW w:w="3033" w:type="dxa"/>
            <w:tcBorders>
              <w:top w:val="single" w:sz="4" w:space="0" w:color="000000"/>
            </w:tcBorders>
            <w:shd w:val="clear" w:color="auto" w:fill="FFFFFF"/>
          </w:tcPr>
          <w:p w:rsidR="00A93162" w:rsidRDefault="00564FFF">
            <w:pPr>
              <w:keepNext/>
              <w:pBdr>
                <w:top w:val="nil"/>
                <w:left w:val="nil"/>
                <w:bottom w:val="nil"/>
                <w:right w:val="nil"/>
                <w:between w:val="nil"/>
              </w:pBdr>
              <w:spacing w:before="240" w:after="120"/>
              <w:ind w:left="142" w:hanging="142"/>
              <w:jc w:val="left"/>
              <w:rPr>
                <w:rFonts w:ascii="Arial" w:eastAsia="Arial" w:hAnsi="Arial"/>
                <w:b/>
                <w:color w:val="000000"/>
                <w:sz w:val="24"/>
                <w:szCs w:val="24"/>
              </w:rPr>
            </w:pPr>
            <w:r>
              <w:rPr>
                <w:rFonts w:ascii="Arial" w:eastAsia="Arial" w:hAnsi="Arial"/>
                <w:b/>
                <w:color w:val="000000"/>
                <w:sz w:val="24"/>
                <w:szCs w:val="24"/>
              </w:rPr>
              <w:t>Entity</w:t>
            </w:r>
          </w:p>
        </w:tc>
        <w:tc>
          <w:tcPr>
            <w:tcW w:w="3017" w:type="dxa"/>
            <w:tcBorders>
              <w:top w:val="single" w:sz="4" w:space="0" w:color="000000"/>
            </w:tcBorders>
            <w:shd w:val="clear" w:color="auto" w:fill="FFFFFF"/>
          </w:tcPr>
          <w:p w:rsidR="00A93162" w:rsidRDefault="00564FFF">
            <w:pPr>
              <w:keepNext/>
              <w:pBdr>
                <w:top w:val="nil"/>
                <w:left w:val="nil"/>
                <w:bottom w:val="nil"/>
                <w:right w:val="nil"/>
                <w:between w:val="nil"/>
              </w:pBdr>
              <w:spacing w:before="240" w:after="120"/>
              <w:ind w:left="142" w:hanging="142"/>
              <w:jc w:val="left"/>
              <w:rPr>
                <w:rFonts w:ascii="Arial" w:eastAsia="Arial" w:hAnsi="Arial"/>
                <w:b/>
                <w:color w:val="000000"/>
                <w:sz w:val="24"/>
                <w:szCs w:val="24"/>
              </w:rPr>
            </w:pPr>
            <w:r>
              <w:rPr>
                <w:rFonts w:ascii="Arial" w:eastAsia="Arial" w:hAnsi="Arial"/>
                <w:b/>
                <w:color w:val="000000"/>
                <w:sz w:val="24"/>
                <w:szCs w:val="24"/>
              </w:rPr>
              <w:t>Credit rating (long term)</w:t>
            </w:r>
          </w:p>
        </w:tc>
        <w:tc>
          <w:tcPr>
            <w:tcW w:w="2966" w:type="dxa"/>
            <w:tcBorders>
              <w:top w:val="single" w:sz="4" w:space="0" w:color="000000"/>
            </w:tcBorders>
            <w:shd w:val="clear" w:color="auto" w:fill="FFFFFF"/>
          </w:tcPr>
          <w:p w:rsidR="00A93162" w:rsidRDefault="00564FFF">
            <w:pPr>
              <w:keepNext/>
              <w:pBdr>
                <w:top w:val="nil"/>
                <w:left w:val="nil"/>
                <w:bottom w:val="nil"/>
                <w:right w:val="nil"/>
                <w:between w:val="nil"/>
              </w:pBdr>
              <w:spacing w:before="240" w:after="120"/>
              <w:ind w:left="142" w:hanging="142"/>
              <w:jc w:val="left"/>
              <w:rPr>
                <w:rFonts w:ascii="Arial" w:eastAsia="Arial" w:hAnsi="Arial"/>
                <w:b/>
                <w:color w:val="000000"/>
                <w:sz w:val="24"/>
                <w:szCs w:val="24"/>
              </w:rPr>
            </w:pPr>
            <w:r>
              <w:rPr>
                <w:rFonts w:ascii="Arial" w:eastAsia="Arial" w:hAnsi="Arial"/>
                <w:b/>
                <w:color w:val="000000"/>
                <w:sz w:val="24"/>
                <w:szCs w:val="24"/>
              </w:rPr>
              <w:t>Credit Rating Threshold</w:t>
            </w:r>
          </w:p>
        </w:tc>
      </w:tr>
      <w:tr w:rsidR="00A93162">
        <w:tc>
          <w:tcPr>
            <w:tcW w:w="3033" w:type="dxa"/>
            <w:shd w:val="clear" w:color="auto" w:fill="FFFFFF"/>
          </w:tcPr>
          <w:p w:rsidR="00A93162"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rPr>
              <w:t>Supplier</w:t>
            </w:r>
          </w:p>
        </w:tc>
        <w:tc>
          <w:tcPr>
            <w:tcW w:w="3017" w:type="dxa"/>
            <w:shd w:val="clear" w:color="auto" w:fill="FFFFFF"/>
          </w:tcPr>
          <w:p w:rsidR="00A93162"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rPr>
              <w:t>[D&amp;B Threshold]</w:t>
            </w:r>
          </w:p>
        </w:tc>
        <w:tc>
          <w:tcPr>
            <w:tcW w:w="2966" w:type="dxa"/>
            <w:shd w:val="clear" w:color="auto" w:fill="FFFFFF"/>
          </w:tcPr>
          <w:p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r>
      <w:tr w:rsidR="00A93162">
        <w:tc>
          <w:tcPr>
            <w:tcW w:w="3033" w:type="dxa"/>
            <w:shd w:val="clear" w:color="auto" w:fill="FFFFFF"/>
          </w:tcPr>
          <w:p w:rsidR="00A93162"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highlight w:val="yellow"/>
              </w:rPr>
              <w:t xml:space="preserve"> Guarantor</w:t>
            </w:r>
          </w:p>
        </w:tc>
        <w:tc>
          <w:tcPr>
            <w:tcW w:w="3017" w:type="dxa"/>
            <w:shd w:val="clear" w:color="auto" w:fill="FFFFFF"/>
          </w:tcPr>
          <w:p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c>
          <w:tcPr>
            <w:tcW w:w="2966" w:type="dxa"/>
            <w:shd w:val="clear" w:color="auto" w:fill="FFFFFF"/>
          </w:tcPr>
          <w:p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r>
      <w:tr w:rsidR="00A93162">
        <w:tc>
          <w:tcPr>
            <w:tcW w:w="3033" w:type="dxa"/>
            <w:tcBorders>
              <w:bottom w:val="single" w:sz="4" w:space="0" w:color="000000"/>
            </w:tcBorders>
            <w:shd w:val="clear" w:color="auto" w:fill="FFFFFF"/>
          </w:tcPr>
          <w:p w:rsidR="00A93162"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17" w:type="dxa"/>
            <w:tcBorders>
              <w:bottom w:val="single" w:sz="4" w:space="0" w:color="000000"/>
            </w:tcBorders>
            <w:shd w:val="clear" w:color="auto" w:fill="FFFFFF"/>
          </w:tcPr>
          <w:p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c>
          <w:tcPr>
            <w:tcW w:w="2966" w:type="dxa"/>
            <w:tcBorders>
              <w:bottom w:val="single" w:sz="4" w:space="0" w:color="000000"/>
            </w:tcBorders>
            <w:shd w:val="clear" w:color="auto" w:fill="FFFFFF"/>
          </w:tcPr>
          <w:p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r>
    </w:tbl>
    <w:p w:rsidR="00A93162" w:rsidRDefault="00A93162">
      <w:pPr>
        <w:spacing w:after="0"/>
        <w:rPr>
          <w:rFonts w:ascii="Arial" w:eastAsia="Arial" w:hAnsi="Arial"/>
          <w:sz w:val="24"/>
          <w:szCs w:val="24"/>
        </w:rPr>
      </w:pPr>
    </w:p>
    <w:sectPr w:rsidR="00A93162">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DAD" w:rsidRDefault="00256DAD">
      <w:pPr>
        <w:spacing w:after="0"/>
      </w:pPr>
      <w:r>
        <w:separator/>
      </w:r>
    </w:p>
  </w:endnote>
  <w:endnote w:type="continuationSeparator" w:id="0">
    <w:p w:rsidR="00256DAD" w:rsidRDefault="00256D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162" w:rsidRDefault="00564FFF">
    <w:pPr>
      <w:tabs>
        <w:tab w:val="center" w:pos="4513"/>
        <w:tab w:val="right" w:pos="9026"/>
      </w:tabs>
      <w:spacing w:after="0"/>
      <w:rPr>
        <w:rFonts w:ascii="Arial" w:eastAsia="Arial" w:hAnsi="Arial"/>
        <w:sz w:val="20"/>
        <w:szCs w:val="20"/>
      </w:rPr>
    </w:pPr>
    <w:r>
      <w:rPr>
        <w:rFonts w:ascii="Arial" w:eastAsia="Arial" w:hAnsi="Arial"/>
        <w:sz w:val="20"/>
        <w:szCs w:val="20"/>
      </w:rPr>
      <w:tab/>
      <w:t xml:space="preserve">                                           </w:t>
    </w:r>
  </w:p>
  <w:p w:rsidR="00A93162" w:rsidRDefault="00564FFF">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t xml:space="preserve">                                           </w:t>
    </w:r>
  </w:p>
  <w:p w:rsidR="00A93162" w:rsidRDefault="00564FFF">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751D18">
      <w:rPr>
        <w:rFonts w:ascii="Arial" w:eastAsia="Arial" w:hAnsi="Arial"/>
        <w:noProof/>
        <w:color w:val="BFBFBF"/>
        <w:sz w:val="20"/>
        <w:szCs w:val="20"/>
      </w:rPr>
      <w:t>1</w:t>
    </w:r>
    <w:r>
      <w:rPr>
        <w:rFonts w:ascii="Arial" w:eastAsia="Arial" w:hAnsi="Arial"/>
        <w:color w:val="BFBFBF"/>
        <w:sz w:val="20"/>
        <w:szCs w:val="20"/>
      </w:rPr>
      <w:fldChar w:fldCharType="end"/>
    </w:r>
  </w:p>
  <w:p w:rsidR="00A93162" w:rsidRDefault="00564FF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BFBFBF"/>
        <w:sz w:val="20"/>
        <w:szCs w:val="20"/>
      </w:rPr>
      <w:t>Model Version: v1.0</w:t>
    </w:r>
  </w:p>
  <w:p w:rsidR="00A93162" w:rsidRDefault="00564FFF">
    <w:pPr>
      <w:spacing w:after="0"/>
      <w:rPr>
        <w:rFonts w:ascii="Arial" w:eastAsia="Arial" w:hAnsi="Arial"/>
        <w:sz w:val="20"/>
        <w:szCs w:val="20"/>
      </w:rPr>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162" w:rsidRDefault="00564FFF">
    <w:pPr>
      <w:tabs>
        <w:tab w:val="center" w:pos="4513"/>
        <w:tab w:val="right" w:pos="9026"/>
      </w:tabs>
      <w:spacing w:after="0"/>
      <w:rPr>
        <w:color w:val="BFBFBF"/>
      </w:rPr>
    </w:pPr>
    <w:r>
      <w:rPr>
        <w:color w:val="BFBFBF"/>
      </w:rPr>
      <w:t>Framework Ref: RM</w:t>
    </w:r>
    <w:r>
      <w:rPr>
        <w:color w:val="BFBFBF"/>
      </w:rPr>
      <w:tab/>
      <w:t xml:space="preserve">                                           </w:t>
    </w:r>
  </w:p>
  <w:p w:rsidR="00A93162" w:rsidRDefault="00564FFF">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A93162" w:rsidRDefault="00564FFF">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DAD" w:rsidRDefault="00256DAD">
      <w:pPr>
        <w:spacing w:after="0"/>
      </w:pPr>
      <w:r>
        <w:separator/>
      </w:r>
    </w:p>
  </w:footnote>
  <w:footnote w:type="continuationSeparator" w:id="0">
    <w:p w:rsidR="00256DAD" w:rsidRDefault="00256D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162" w:rsidRDefault="00564FF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Schedule 24 (Financial Difficulties)</w:t>
    </w:r>
  </w:p>
  <w:p w:rsidR="00A93162" w:rsidRDefault="00751D1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 </w:t>
    </w:r>
    <w:r w:rsidR="00564FFF">
      <w:rPr>
        <w:rFonts w:ascii="Arial" w:eastAsia="Arial" w:hAnsi="Arial"/>
        <w:color w:val="000000"/>
        <w:sz w:val="20"/>
        <w:szCs w:val="20"/>
      </w:rPr>
      <w:t>Crown Copyright</w:t>
    </w:r>
    <w:r w:rsidR="00564FFF">
      <w:rPr>
        <w:rFonts w:ascii="Arial" w:eastAsia="Arial" w:hAnsi="Arial"/>
        <w:color w:val="000000"/>
        <w:sz w:val="14"/>
        <w:szCs w:val="14"/>
      </w:rPr>
      <w:t xml:space="preserve"> </w:t>
    </w:r>
    <w:r w:rsidR="00564FFF">
      <w:rPr>
        <w:rFonts w:ascii="Arial" w:eastAsia="Arial" w:hAnsi="Arial"/>
        <w:color w:val="000000"/>
        <w:sz w:val="20"/>
        <w:szCs w:val="20"/>
      </w:rPr>
      <w:t>20</w:t>
    </w:r>
    <w:r w:rsidR="00533757">
      <w:rPr>
        <w:rFonts w:ascii="Arial" w:eastAsia="Arial" w:hAnsi="Arial"/>
        <w:color w:val="000000"/>
        <w:sz w:val="20"/>
        <w:szCs w:val="20"/>
      </w:rPr>
      <w:t>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9660A"/>
    <w:multiLevelType w:val="multilevel"/>
    <w:tmpl w:val="9DD455B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CE716C6"/>
    <w:multiLevelType w:val="multilevel"/>
    <w:tmpl w:val="AECAF63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162"/>
    <w:rsid w:val="00256DAD"/>
    <w:rsid w:val="00503729"/>
    <w:rsid w:val="00533757"/>
    <w:rsid w:val="00564FFF"/>
    <w:rsid w:val="00751D18"/>
    <w:rsid w:val="00A93162"/>
    <w:rsid w:val="00B64141"/>
    <w:rsid w:val="00EB64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034CB"/>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Y5nWWeVfkLxhglUrV590OylWcQ==">AMUW2mWqel/z0DKFJ7/+KC+laipHuTH+RZaGZjeJQTr46D3/i2cGivcBYw5U2McCCZ/kQhio5TCCHRXv/QX9q2H7VJLtwRbCYZX1Vslqz8k16QqLywp5AGiBR5EoNTjTpPZyyPyrcCakAE8dr13BkIyox5qOqYJNTPLb1MkYHa+y6nASYamJP69wfFPrXiV+uTa3dTvgDvdfUHkZuY+el5WPxLrB7D3YlHZy8FcugYzKNSkxxO/osljkmGywRS2lKvFZBU2gwqFwhv9z0bM2IBp2Zf5qs4aOYTZQk+6DTiCz+A3X77E8+ox7m2M4b4TGwNuvV9Xalfj0ykA0HdBU7isJioWxDFugVJxLoeY+fYO6s7lniaUzYSoZlvFjsnyE3zlQkBVhtZpU30Wge/1U1k9waJspZwwnr7n8HWHuukaSaJRihqNt8mRNBv0Xlq3rEKaB4Cdrbd0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1574</Words>
  <Characters>8975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Baxter</dc:creator>
  <cp:lastModifiedBy>Helen Baxter</cp:lastModifiedBy>
  <cp:revision>2</cp:revision>
  <dcterms:created xsi:type="dcterms:W3CDTF">2020-02-07T13:59:00Z</dcterms:created>
  <dcterms:modified xsi:type="dcterms:W3CDTF">2020-02-07T13:59:00Z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